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3BC0" w14:textId="7A5402D2" w:rsidR="008221B0" w:rsidRDefault="008221B0" w:rsidP="00DE3BA8">
      <w:pPr>
        <w:pStyle w:val="NormalWeb"/>
        <w:contextualSpacing/>
        <w:jc w:val="center"/>
        <w:rPr>
          <w:rFonts w:asciiTheme="minorHAnsi" w:hAnsiTheme="minorHAnsi"/>
          <w:b/>
          <w:bCs/>
          <w:u w:val="single"/>
        </w:rPr>
      </w:pPr>
      <w:r w:rsidRPr="004B6543">
        <w:rPr>
          <w:rFonts w:asciiTheme="minorHAnsi" w:hAnsiTheme="minorHAnsi"/>
          <w:noProof/>
        </w:rPr>
        <w:drawing>
          <wp:inline distT="0" distB="0" distL="0" distR="0" wp14:anchorId="03FD3CD6" wp14:editId="6AB3FE9D">
            <wp:extent cx="3188709" cy="65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8709" cy="651914"/>
                    </a:xfrm>
                    <a:prstGeom prst="rect">
                      <a:avLst/>
                    </a:prstGeom>
                  </pic:spPr>
                </pic:pic>
              </a:graphicData>
            </a:graphic>
          </wp:inline>
        </w:drawing>
      </w:r>
    </w:p>
    <w:p w14:paraId="66A382F6" w14:textId="29E3FE8C" w:rsidR="009F35F0" w:rsidRDefault="009F35F0" w:rsidP="00225976">
      <w:pPr>
        <w:pStyle w:val="NormalWeb"/>
        <w:contextualSpacing/>
        <w:jc w:val="both"/>
        <w:rPr>
          <w:rFonts w:asciiTheme="minorHAnsi" w:hAnsiTheme="minorHAnsi"/>
          <w:b/>
          <w:bCs/>
          <w:u w:val="single"/>
        </w:rPr>
      </w:pPr>
      <w:bookmarkStart w:id="0" w:name="_GoBack"/>
      <w:bookmarkEnd w:id="0"/>
    </w:p>
    <w:p w14:paraId="2AA8F8E8" w14:textId="77777777" w:rsidR="009F35F0" w:rsidRDefault="009F35F0" w:rsidP="00225976">
      <w:pPr>
        <w:pStyle w:val="NormalWeb"/>
        <w:contextualSpacing/>
        <w:jc w:val="both"/>
        <w:rPr>
          <w:rFonts w:asciiTheme="minorHAnsi" w:hAnsiTheme="minorHAnsi"/>
          <w:b/>
          <w:bCs/>
          <w:u w:val="single"/>
        </w:rPr>
      </w:pPr>
    </w:p>
    <w:p w14:paraId="0C3C4E97" w14:textId="2F61B107" w:rsidR="0006202F" w:rsidRDefault="0006202F" w:rsidP="00225976">
      <w:pPr>
        <w:pStyle w:val="NormalWeb"/>
        <w:contextualSpacing/>
        <w:jc w:val="center"/>
        <w:rPr>
          <w:rFonts w:asciiTheme="minorHAnsi" w:hAnsiTheme="minorHAnsi"/>
          <w:b/>
          <w:bCs/>
        </w:rPr>
      </w:pPr>
      <w:r w:rsidRPr="009F35F0">
        <w:rPr>
          <w:rFonts w:asciiTheme="minorHAnsi" w:hAnsiTheme="minorHAnsi"/>
          <w:b/>
          <w:bCs/>
        </w:rPr>
        <w:t>ANTI-HARASSMENT POLICY</w:t>
      </w:r>
    </w:p>
    <w:p w14:paraId="51D11DBA" w14:textId="5E6E4DA6" w:rsidR="009F35F0" w:rsidRDefault="009F35F0" w:rsidP="00225976">
      <w:pPr>
        <w:pStyle w:val="NormalWeb"/>
        <w:contextualSpacing/>
        <w:jc w:val="center"/>
        <w:rPr>
          <w:rFonts w:asciiTheme="minorHAnsi" w:hAnsiTheme="minorHAnsi"/>
          <w:b/>
          <w:bCs/>
        </w:rPr>
      </w:pPr>
    </w:p>
    <w:p w14:paraId="6413E54F" w14:textId="77777777" w:rsidR="0006202F" w:rsidRPr="0006202F" w:rsidRDefault="0006202F" w:rsidP="009F35F0">
      <w:pPr>
        <w:pStyle w:val="NormalWeb"/>
        <w:contextualSpacing/>
        <w:jc w:val="both"/>
        <w:rPr>
          <w:rFonts w:asciiTheme="minorHAnsi" w:hAnsiTheme="minorHAnsi"/>
        </w:rPr>
      </w:pPr>
    </w:p>
    <w:p w14:paraId="5631B566" w14:textId="77777777" w:rsidR="009F35F0" w:rsidRDefault="0006202F" w:rsidP="00B97E81">
      <w:pPr>
        <w:pStyle w:val="NormalWeb"/>
        <w:numPr>
          <w:ilvl w:val="0"/>
          <w:numId w:val="2"/>
        </w:numPr>
        <w:ind w:hanging="720"/>
        <w:contextualSpacing/>
        <w:jc w:val="both"/>
        <w:rPr>
          <w:rFonts w:asciiTheme="minorHAnsi" w:hAnsiTheme="minorHAnsi"/>
        </w:rPr>
      </w:pPr>
      <w:r w:rsidRPr="0006202F">
        <w:rPr>
          <w:rFonts w:asciiTheme="minorHAnsi" w:hAnsiTheme="minorHAnsi"/>
        </w:rPr>
        <w:t>This Policy covers those working at, visiting, and providing services to Chavasse</w:t>
      </w:r>
    </w:p>
    <w:p w14:paraId="0CD0C620" w14:textId="224F45B3" w:rsidR="0006202F" w:rsidRPr="0006202F" w:rsidRDefault="0006202F" w:rsidP="009F35F0">
      <w:pPr>
        <w:pStyle w:val="NormalWeb"/>
        <w:ind w:left="720"/>
        <w:contextualSpacing/>
        <w:jc w:val="both"/>
        <w:rPr>
          <w:rFonts w:asciiTheme="minorHAnsi" w:hAnsiTheme="minorHAnsi"/>
        </w:rPr>
      </w:pPr>
      <w:r w:rsidRPr="0006202F">
        <w:rPr>
          <w:rFonts w:asciiTheme="minorHAnsi" w:hAnsiTheme="minorHAnsi"/>
        </w:rPr>
        <w:t xml:space="preserve"> Court Chambers or visiting events arranged by Chambers. </w:t>
      </w:r>
    </w:p>
    <w:p w14:paraId="5321157D" w14:textId="77777777" w:rsidR="0006202F" w:rsidRPr="0006202F" w:rsidRDefault="0006202F" w:rsidP="009F35F0">
      <w:pPr>
        <w:pStyle w:val="NormalWeb"/>
        <w:ind w:left="720"/>
        <w:contextualSpacing/>
        <w:jc w:val="both"/>
        <w:rPr>
          <w:rFonts w:asciiTheme="minorHAnsi" w:hAnsiTheme="minorHAnsi"/>
        </w:rPr>
      </w:pPr>
    </w:p>
    <w:p w14:paraId="5B63BAF5" w14:textId="5D6261D0" w:rsidR="0006202F" w:rsidRDefault="0006202F" w:rsidP="00B97E81">
      <w:pPr>
        <w:pStyle w:val="NormalWeb"/>
        <w:numPr>
          <w:ilvl w:val="0"/>
          <w:numId w:val="2"/>
        </w:numPr>
        <w:ind w:hanging="720"/>
        <w:contextualSpacing/>
        <w:jc w:val="both"/>
        <w:rPr>
          <w:rFonts w:asciiTheme="minorHAnsi" w:hAnsiTheme="minorHAnsi"/>
        </w:rPr>
      </w:pPr>
      <w:r>
        <w:rPr>
          <w:rFonts w:asciiTheme="minorHAnsi" w:hAnsiTheme="minorHAnsi"/>
        </w:rPr>
        <w:t>Chavasse</w:t>
      </w:r>
      <w:r w:rsidRPr="0006202F">
        <w:rPr>
          <w:rFonts w:asciiTheme="minorHAnsi" w:hAnsiTheme="minorHAnsi"/>
        </w:rPr>
        <w:t xml:space="preserve"> Court Chambers is committed to providing a work environment in which individuals, clients and the public are treated with dignity and respect. We are determined to promote a work environment in which everyone is treated equally and with dignity and can flourish. </w:t>
      </w:r>
    </w:p>
    <w:p w14:paraId="57F9380B" w14:textId="77777777" w:rsidR="0006202F" w:rsidRPr="0006202F" w:rsidRDefault="0006202F" w:rsidP="009F35F0">
      <w:pPr>
        <w:pStyle w:val="NormalWeb"/>
        <w:contextualSpacing/>
        <w:jc w:val="both"/>
        <w:rPr>
          <w:rFonts w:asciiTheme="minorHAnsi" w:hAnsiTheme="minorHAnsi"/>
        </w:rPr>
      </w:pPr>
    </w:p>
    <w:p w14:paraId="32A0644B" w14:textId="4C08EDEF" w:rsidR="0006202F" w:rsidRDefault="0006202F" w:rsidP="00B97E81">
      <w:pPr>
        <w:pStyle w:val="NormalWeb"/>
        <w:numPr>
          <w:ilvl w:val="0"/>
          <w:numId w:val="2"/>
        </w:numPr>
        <w:ind w:hanging="720"/>
        <w:contextualSpacing/>
        <w:jc w:val="both"/>
        <w:rPr>
          <w:rFonts w:asciiTheme="minorHAnsi" w:hAnsiTheme="minorHAnsi"/>
        </w:rPr>
      </w:pPr>
      <w:r w:rsidRPr="0006202F">
        <w:rPr>
          <w:rFonts w:asciiTheme="minorHAnsi" w:hAnsiTheme="minorHAnsi"/>
        </w:rPr>
        <w:t xml:space="preserve">Harassment in any form will not be tolerated at </w:t>
      </w:r>
      <w:r>
        <w:rPr>
          <w:rFonts w:asciiTheme="minorHAnsi" w:hAnsiTheme="minorHAnsi"/>
        </w:rPr>
        <w:t>Chavasse</w:t>
      </w:r>
      <w:r w:rsidRPr="0006202F">
        <w:rPr>
          <w:rFonts w:asciiTheme="minorHAnsi" w:hAnsiTheme="minorHAnsi"/>
        </w:rPr>
        <w:t xml:space="preserve"> Court Chambers. Harassment includes any unwanted conduct related to sex, race, disability, gender re-assignment, religion or belief, sexual orientation or age. Such behaviour may take many forms including: </w:t>
      </w:r>
    </w:p>
    <w:p w14:paraId="0D9CC889" w14:textId="77777777" w:rsidR="009F35F0" w:rsidRPr="0006202F" w:rsidRDefault="009F35F0" w:rsidP="009F35F0">
      <w:pPr>
        <w:pStyle w:val="NormalWeb"/>
        <w:contextualSpacing/>
        <w:jc w:val="both"/>
        <w:rPr>
          <w:rFonts w:asciiTheme="minorHAnsi" w:hAnsiTheme="minorHAnsi"/>
        </w:rPr>
      </w:pPr>
    </w:p>
    <w:p w14:paraId="4E346F6E" w14:textId="77777777" w:rsidR="0006202F" w:rsidRPr="0006202F" w:rsidRDefault="0006202F" w:rsidP="007B4B49">
      <w:pPr>
        <w:pStyle w:val="NormalWeb"/>
        <w:numPr>
          <w:ilvl w:val="0"/>
          <w:numId w:val="1"/>
        </w:numPr>
        <w:ind w:hanging="731"/>
        <w:contextualSpacing/>
        <w:jc w:val="both"/>
        <w:rPr>
          <w:rFonts w:asciiTheme="minorHAnsi" w:hAnsiTheme="minorHAnsi"/>
        </w:rPr>
      </w:pPr>
      <w:r w:rsidRPr="0006202F">
        <w:rPr>
          <w:rFonts w:asciiTheme="minorHAnsi" w:hAnsiTheme="minorHAnsi"/>
        </w:rPr>
        <w:t xml:space="preserve">conduct which is unwanted by the recipient and perceived as hostile or threatening; </w:t>
      </w:r>
    </w:p>
    <w:p w14:paraId="4CA3B52A" w14:textId="3E1A088E" w:rsidR="0006202F" w:rsidRPr="0006202F" w:rsidRDefault="0006202F" w:rsidP="007B4B49">
      <w:pPr>
        <w:pStyle w:val="NormalWeb"/>
        <w:numPr>
          <w:ilvl w:val="0"/>
          <w:numId w:val="1"/>
        </w:numPr>
        <w:ind w:hanging="731"/>
        <w:contextualSpacing/>
        <w:jc w:val="both"/>
        <w:rPr>
          <w:rFonts w:asciiTheme="minorHAnsi" w:hAnsiTheme="minorHAnsi"/>
        </w:rPr>
      </w:pPr>
      <w:r w:rsidRPr="0006202F">
        <w:rPr>
          <w:rFonts w:asciiTheme="minorHAnsi" w:hAnsiTheme="minorHAnsi"/>
        </w:rPr>
        <w:t xml:space="preserve">conduct which gives rise to a hostile or threatening work environment; </w:t>
      </w:r>
    </w:p>
    <w:p w14:paraId="3F69DCCE" w14:textId="794E7170" w:rsidR="0006202F" w:rsidRDefault="0006202F" w:rsidP="007B4B49">
      <w:pPr>
        <w:pStyle w:val="NormalWeb"/>
        <w:numPr>
          <w:ilvl w:val="0"/>
          <w:numId w:val="1"/>
        </w:numPr>
        <w:ind w:hanging="731"/>
        <w:contextualSpacing/>
        <w:jc w:val="both"/>
        <w:rPr>
          <w:rFonts w:asciiTheme="minorHAnsi" w:hAnsiTheme="minorHAnsi"/>
        </w:rPr>
      </w:pPr>
      <w:r w:rsidRPr="0006202F">
        <w:rPr>
          <w:rFonts w:asciiTheme="minorHAnsi" w:hAnsiTheme="minorHAnsi"/>
        </w:rPr>
        <w:t xml:space="preserve">conduct which creates an atmosphere in which it is feared that rejection or submission will be used as a basis for decisions which have an impact on the recipient at work such as an allocation of work or tenancy decision. </w:t>
      </w:r>
    </w:p>
    <w:p w14:paraId="38F54F47" w14:textId="756A922C" w:rsidR="0006202F" w:rsidRPr="0006202F" w:rsidRDefault="0006202F" w:rsidP="009F35F0">
      <w:pPr>
        <w:pStyle w:val="NormalWeb"/>
        <w:contextualSpacing/>
        <w:jc w:val="both"/>
        <w:rPr>
          <w:rFonts w:asciiTheme="minorHAnsi" w:hAnsiTheme="minorHAnsi"/>
        </w:rPr>
      </w:pPr>
      <w:r>
        <w:rPr>
          <w:rFonts w:asciiTheme="minorHAnsi" w:hAnsiTheme="minorHAnsi"/>
        </w:rPr>
        <w:tab/>
      </w:r>
    </w:p>
    <w:p w14:paraId="143E4A18" w14:textId="26983B1A" w:rsidR="0006202F" w:rsidRDefault="0006202F" w:rsidP="00B97E81">
      <w:pPr>
        <w:pStyle w:val="NormalWeb"/>
        <w:numPr>
          <w:ilvl w:val="0"/>
          <w:numId w:val="2"/>
        </w:numPr>
        <w:ind w:hanging="720"/>
        <w:contextualSpacing/>
        <w:jc w:val="both"/>
        <w:rPr>
          <w:rFonts w:asciiTheme="minorHAnsi" w:hAnsiTheme="minorHAnsi"/>
        </w:rPr>
      </w:pPr>
      <w:r w:rsidRPr="0006202F">
        <w:rPr>
          <w:rFonts w:asciiTheme="minorHAnsi" w:hAnsiTheme="minorHAnsi"/>
        </w:rPr>
        <w:t>The following are examples of types of behaviour which may amount to harassment: physical or sexual assault;</w:t>
      </w:r>
    </w:p>
    <w:p w14:paraId="39202179" w14:textId="77777777" w:rsidR="009F35F0" w:rsidRDefault="009F35F0" w:rsidP="009F35F0">
      <w:pPr>
        <w:pStyle w:val="NormalWeb"/>
        <w:ind w:left="720"/>
        <w:contextualSpacing/>
        <w:jc w:val="both"/>
        <w:rPr>
          <w:rFonts w:asciiTheme="minorHAnsi" w:hAnsiTheme="minorHAnsi"/>
        </w:rPr>
      </w:pPr>
    </w:p>
    <w:p w14:paraId="08A668F3" w14:textId="0EADB2CE"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requests for sexual favours in return for career advancement; </w:t>
      </w:r>
    </w:p>
    <w:p w14:paraId="77825D67"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unnecessary physical contact; </w:t>
      </w:r>
    </w:p>
    <w:p w14:paraId="61395EDA"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exclusion from social networks and activities or other forms of isolation;</w:t>
      </w:r>
    </w:p>
    <w:p w14:paraId="0325F875"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bullying; </w:t>
      </w:r>
    </w:p>
    <w:p w14:paraId="3F77D4B5"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compromising suggestions or invitations; </w:t>
      </w:r>
    </w:p>
    <w:p w14:paraId="5B89E8AF"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suggestive remarks or looks; </w:t>
      </w:r>
    </w:p>
    <w:p w14:paraId="7AB5CB62"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display of offensive materials, including on a computer screen;</w:t>
      </w:r>
    </w:p>
    <w:p w14:paraId="22467710"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tasteless jokes or verbal abuse, including any sent by email; </w:t>
      </w:r>
    </w:p>
    <w:p w14:paraId="3A792475" w14:textId="77777777"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offensive remarks or ridicule; </w:t>
      </w:r>
    </w:p>
    <w:p w14:paraId="336E3ED5" w14:textId="180741EB" w:rsidR="0006202F" w:rsidRDefault="0006202F" w:rsidP="007B4B49">
      <w:pPr>
        <w:pStyle w:val="NormalWeb"/>
        <w:numPr>
          <w:ilvl w:val="1"/>
          <w:numId w:val="1"/>
        </w:numPr>
        <w:tabs>
          <w:tab w:val="clear" w:pos="2160"/>
          <w:tab w:val="num" w:pos="1418"/>
        </w:tabs>
        <w:ind w:hanging="1451"/>
        <w:contextualSpacing/>
        <w:jc w:val="both"/>
        <w:rPr>
          <w:rFonts w:asciiTheme="minorHAnsi" w:hAnsiTheme="minorHAnsi"/>
        </w:rPr>
      </w:pPr>
      <w:r w:rsidRPr="0006202F">
        <w:rPr>
          <w:rFonts w:asciiTheme="minorHAnsi" w:hAnsiTheme="minorHAnsi"/>
        </w:rPr>
        <w:t xml:space="preserve">dealing inappropriately or inadequately with complaints of harassment </w:t>
      </w:r>
    </w:p>
    <w:p w14:paraId="66A9116E" w14:textId="77777777" w:rsidR="0006202F" w:rsidRDefault="0006202F" w:rsidP="009F35F0">
      <w:pPr>
        <w:pStyle w:val="NormalWeb"/>
        <w:contextualSpacing/>
        <w:jc w:val="both"/>
        <w:rPr>
          <w:rFonts w:asciiTheme="minorHAnsi" w:hAnsiTheme="minorHAnsi"/>
        </w:rPr>
      </w:pPr>
    </w:p>
    <w:p w14:paraId="331A633F" w14:textId="07763242" w:rsidR="0006202F" w:rsidRDefault="0006202F" w:rsidP="00B97E81">
      <w:pPr>
        <w:pStyle w:val="NormalWeb"/>
        <w:numPr>
          <w:ilvl w:val="0"/>
          <w:numId w:val="2"/>
        </w:numPr>
        <w:ind w:hanging="720"/>
        <w:contextualSpacing/>
        <w:jc w:val="both"/>
        <w:rPr>
          <w:rFonts w:asciiTheme="minorHAnsi" w:hAnsiTheme="minorHAnsi"/>
        </w:rPr>
      </w:pPr>
      <w:r w:rsidRPr="0006202F">
        <w:rPr>
          <w:rFonts w:asciiTheme="minorHAnsi" w:hAnsiTheme="minorHAnsi"/>
        </w:rPr>
        <w:t xml:space="preserve">In addition to the above unwanted conduct, it </w:t>
      </w:r>
      <w:r w:rsidR="007B4B49">
        <w:rPr>
          <w:rFonts w:asciiTheme="minorHAnsi" w:hAnsiTheme="minorHAnsi"/>
        </w:rPr>
        <w:t>may</w:t>
      </w:r>
      <w:r w:rsidRPr="0006202F">
        <w:rPr>
          <w:rFonts w:asciiTheme="minorHAnsi" w:hAnsiTheme="minorHAnsi"/>
        </w:rPr>
        <w:t xml:space="preserve"> arise where a person engages in</w:t>
      </w:r>
      <w:r>
        <w:rPr>
          <w:rFonts w:asciiTheme="minorHAnsi" w:hAnsiTheme="minorHAnsi"/>
        </w:rPr>
        <w:t xml:space="preserve"> </w:t>
      </w:r>
      <w:r w:rsidRPr="0006202F">
        <w:rPr>
          <w:rFonts w:asciiTheme="minorHAnsi" w:hAnsiTheme="minorHAnsi"/>
        </w:rPr>
        <w:t xml:space="preserve">any kind of unwanted sexual behaviour (or behaviour related to gender reassignment, gender or sexual orientation). </w:t>
      </w:r>
    </w:p>
    <w:p w14:paraId="40D3244F" w14:textId="77777777" w:rsidR="0006202F" w:rsidRDefault="0006202F" w:rsidP="009F35F0">
      <w:pPr>
        <w:pStyle w:val="NormalWeb"/>
        <w:ind w:left="720"/>
        <w:contextualSpacing/>
        <w:jc w:val="both"/>
        <w:rPr>
          <w:rFonts w:asciiTheme="minorHAnsi" w:hAnsiTheme="minorHAnsi"/>
        </w:rPr>
      </w:pPr>
    </w:p>
    <w:p w14:paraId="0782A48F" w14:textId="6D5DA601" w:rsidR="0006202F" w:rsidRPr="00BE1326" w:rsidRDefault="0006202F" w:rsidP="00B97E81">
      <w:pPr>
        <w:pStyle w:val="NormalWeb"/>
        <w:numPr>
          <w:ilvl w:val="0"/>
          <w:numId w:val="2"/>
        </w:numPr>
        <w:ind w:hanging="720"/>
        <w:contextualSpacing/>
        <w:jc w:val="both"/>
        <w:rPr>
          <w:rFonts w:asciiTheme="minorHAnsi" w:hAnsiTheme="minorHAnsi"/>
        </w:rPr>
      </w:pPr>
      <w:r w:rsidRPr="00BE1326">
        <w:rPr>
          <w:rFonts w:asciiTheme="minorHAnsi" w:hAnsiTheme="minorHAnsi"/>
        </w:rPr>
        <w:lastRenderedPageBreak/>
        <w:t xml:space="preserve"> Harassment is unlawful under the Equality Act 2010. Harassment is misconduct for employees or a breach of the Bar Code of Conduct for barristers. Allegations of harassment by employees will be dealt with under the </w:t>
      </w:r>
      <w:r w:rsidR="009F35F0">
        <w:rPr>
          <w:rFonts w:asciiTheme="minorHAnsi" w:hAnsiTheme="minorHAnsi"/>
          <w:color w:val="000000" w:themeColor="text1"/>
        </w:rPr>
        <w:t>G</w:t>
      </w:r>
      <w:r w:rsidR="00BE1326">
        <w:rPr>
          <w:rFonts w:asciiTheme="minorHAnsi" w:hAnsiTheme="minorHAnsi"/>
          <w:color w:val="000000" w:themeColor="text1"/>
        </w:rPr>
        <w:t xml:space="preserve">rievance </w:t>
      </w:r>
      <w:r w:rsidR="009F35F0">
        <w:rPr>
          <w:rFonts w:asciiTheme="minorHAnsi" w:hAnsiTheme="minorHAnsi"/>
          <w:color w:val="000000" w:themeColor="text1"/>
        </w:rPr>
        <w:t>P</w:t>
      </w:r>
      <w:r w:rsidR="00BE1326">
        <w:rPr>
          <w:rFonts w:asciiTheme="minorHAnsi" w:hAnsiTheme="minorHAnsi"/>
          <w:color w:val="000000" w:themeColor="text1"/>
        </w:rPr>
        <w:t xml:space="preserve">rocedure </w:t>
      </w:r>
      <w:r w:rsidR="009F35F0">
        <w:rPr>
          <w:rFonts w:asciiTheme="minorHAnsi" w:hAnsiTheme="minorHAnsi"/>
          <w:color w:val="000000" w:themeColor="text1"/>
        </w:rPr>
        <w:t>P</w:t>
      </w:r>
      <w:r w:rsidR="00BE1326">
        <w:rPr>
          <w:rFonts w:asciiTheme="minorHAnsi" w:hAnsiTheme="minorHAnsi"/>
          <w:color w:val="000000" w:themeColor="text1"/>
        </w:rPr>
        <w:t xml:space="preserve">olicy.  </w:t>
      </w:r>
    </w:p>
    <w:p w14:paraId="7777DF5F" w14:textId="77777777" w:rsidR="00BE1326" w:rsidRPr="00BE1326" w:rsidRDefault="00BE1326" w:rsidP="009F35F0">
      <w:pPr>
        <w:pStyle w:val="NormalWeb"/>
        <w:contextualSpacing/>
        <w:jc w:val="both"/>
        <w:rPr>
          <w:rFonts w:asciiTheme="minorHAnsi" w:hAnsiTheme="minorHAnsi"/>
        </w:rPr>
      </w:pPr>
    </w:p>
    <w:p w14:paraId="5A85CECA" w14:textId="4DEEB86C" w:rsidR="008221B0" w:rsidRPr="00000D29" w:rsidRDefault="0006202F" w:rsidP="00B97E81">
      <w:pPr>
        <w:pStyle w:val="NormalWeb"/>
        <w:numPr>
          <w:ilvl w:val="0"/>
          <w:numId w:val="2"/>
        </w:numPr>
        <w:ind w:hanging="720"/>
        <w:contextualSpacing/>
        <w:jc w:val="both"/>
        <w:rPr>
          <w:rFonts w:asciiTheme="minorHAnsi" w:hAnsiTheme="minorHAnsi"/>
          <w:color w:val="FF0000"/>
        </w:rPr>
      </w:pPr>
      <w:r w:rsidRPr="0006202F">
        <w:rPr>
          <w:rFonts w:asciiTheme="minorHAnsi" w:hAnsiTheme="minorHAnsi"/>
        </w:rPr>
        <w:t>Complaints of harassment may be raised informally in the first instance with Chambers’ Equality and Diversity Officer, the Head of Chambers or another senior Member</w:t>
      </w:r>
      <w:r w:rsidR="009F35F0">
        <w:rPr>
          <w:rFonts w:asciiTheme="minorHAnsi" w:hAnsiTheme="minorHAnsi"/>
        </w:rPr>
        <w:t>s</w:t>
      </w:r>
      <w:r w:rsidRPr="0006202F">
        <w:rPr>
          <w:rFonts w:asciiTheme="minorHAnsi" w:hAnsiTheme="minorHAnsi"/>
        </w:rPr>
        <w:t xml:space="preserve"> of Chambers who will agree an appropriate response. Formal complaints should be made under the </w:t>
      </w:r>
      <w:r w:rsidR="009F35F0">
        <w:rPr>
          <w:rFonts w:asciiTheme="minorHAnsi" w:hAnsiTheme="minorHAnsi"/>
          <w:color w:val="000000" w:themeColor="text1"/>
        </w:rPr>
        <w:t>G</w:t>
      </w:r>
      <w:r w:rsidR="00BE1326">
        <w:rPr>
          <w:rFonts w:asciiTheme="minorHAnsi" w:hAnsiTheme="minorHAnsi"/>
          <w:color w:val="000000" w:themeColor="text1"/>
        </w:rPr>
        <w:t xml:space="preserve">rievance </w:t>
      </w:r>
      <w:r w:rsidR="009F35F0">
        <w:rPr>
          <w:rFonts w:asciiTheme="minorHAnsi" w:hAnsiTheme="minorHAnsi"/>
          <w:color w:val="000000" w:themeColor="text1"/>
        </w:rPr>
        <w:t>P</w:t>
      </w:r>
      <w:r w:rsidR="00BE1326">
        <w:rPr>
          <w:rFonts w:asciiTheme="minorHAnsi" w:hAnsiTheme="minorHAnsi"/>
          <w:color w:val="000000" w:themeColor="text1"/>
        </w:rPr>
        <w:t xml:space="preserve">rocedure </w:t>
      </w:r>
      <w:r w:rsidR="009F35F0">
        <w:rPr>
          <w:rFonts w:asciiTheme="minorHAnsi" w:hAnsiTheme="minorHAnsi"/>
          <w:color w:val="000000" w:themeColor="text1"/>
        </w:rPr>
        <w:t>P</w:t>
      </w:r>
      <w:r w:rsidR="00BE1326">
        <w:rPr>
          <w:rFonts w:asciiTheme="minorHAnsi" w:hAnsiTheme="minorHAnsi"/>
          <w:color w:val="000000" w:themeColor="text1"/>
        </w:rPr>
        <w:t xml:space="preserve">olicy. </w:t>
      </w:r>
    </w:p>
    <w:p w14:paraId="523FC8B6" w14:textId="77777777" w:rsidR="008221B0" w:rsidRPr="008221B0" w:rsidRDefault="008221B0" w:rsidP="00225976">
      <w:pPr>
        <w:pStyle w:val="NormalWeb"/>
        <w:contextualSpacing/>
        <w:jc w:val="both"/>
        <w:rPr>
          <w:rFonts w:asciiTheme="minorHAnsi" w:hAnsiTheme="minorHAnsi"/>
        </w:rPr>
      </w:pPr>
    </w:p>
    <w:p w14:paraId="7974FA09" w14:textId="0CC3C8A9" w:rsidR="008221B0" w:rsidRDefault="0006202F" w:rsidP="00B97E81">
      <w:pPr>
        <w:pStyle w:val="NormalWeb"/>
        <w:numPr>
          <w:ilvl w:val="0"/>
          <w:numId w:val="2"/>
        </w:numPr>
        <w:ind w:hanging="720"/>
        <w:contextualSpacing/>
        <w:jc w:val="both"/>
        <w:rPr>
          <w:rFonts w:asciiTheme="minorHAnsi" w:hAnsiTheme="minorHAnsi"/>
        </w:rPr>
      </w:pPr>
      <w:r w:rsidRPr="008221B0">
        <w:rPr>
          <w:rFonts w:asciiTheme="minorHAnsi" w:hAnsiTheme="minorHAnsi"/>
        </w:rPr>
        <w:t xml:space="preserve">Chambers is committed to ensuring that no-one who makes an allegation of harassment in good faith should be subjected to any detriment as a result. Any victimisation of a complainant, witness or anyone else involved in the investigation of a complaint will be viewed as a disciplinary matter. </w:t>
      </w:r>
    </w:p>
    <w:p w14:paraId="4DF5C340" w14:textId="77777777" w:rsidR="008221B0" w:rsidRDefault="008221B0" w:rsidP="00225976">
      <w:pPr>
        <w:pStyle w:val="NormalWeb"/>
        <w:contextualSpacing/>
        <w:jc w:val="both"/>
        <w:rPr>
          <w:rFonts w:asciiTheme="minorHAnsi" w:hAnsiTheme="minorHAnsi"/>
        </w:rPr>
      </w:pPr>
    </w:p>
    <w:p w14:paraId="7BE15419" w14:textId="239F47D2" w:rsidR="0006202F" w:rsidRPr="008221B0" w:rsidRDefault="0006202F" w:rsidP="00B97E81">
      <w:pPr>
        <w:pStyle w:val="NormalWeb"/>
        <w:numPr>
          <w:ilvl w:val="0"/>
          <w:numId w:val="2"/>
        </w:numPr>
        <w:ind w:hanging="720"/>
        <w:contextualSpacing/>
        <w:jc w:val="both"/>
        <w:rPr>
          <w:rFonts w:asciiTheme="minorHAnsi" w:hAnsiTheme="minorHAnsi"/>
        </w:rPr>
      </w:pPr>
      <w:r w:rsidRPr="008221B0">
        <w:rPr>
          <w:rFonts w:asciiTheme="minorHAnsi" w:hAnsiTheme="minorHAnsi"/>
        </w:rPr>
        <w:t xml:space="preserve">To protect the interests of the complainant, the person complained against, and any others who may report or be witnesses to incidents of harassment, confidentiality will be maintained throughout any investigatory process to the extent that this is practical and appropriate under the circumstances. However, Chambers has a duty to ensure that harassment does not re-occur. All records of complaints, including notes of meetings, interviews, results of investigations and other relevant material will be kept confidential by Chambers except where disclosure is required by law or for disciplinary or other remedial processes. </w:t>
      </w:r>
    </w:p>
    <w:p w14:paraId="3EF85CCA" w14:textId="77777777" w:rsidR="00001328" w:rsidRPr="0006202F" w:rsidRDefault="00001328" w:rsidP="00225976">
      <w:pPr>
        <w:pStyle w:val="NormalWeb"/>
        <w:contextualSpacing/>
        <w:jc w:val="both"/>
        <w:rPr>
          <w:rFonts w:asciiTheme="minorHAnsi" w:hAnsiTheme="minorHAnsi"/>
        </w:rPr>
      </w:pPr>
    </w:p>
    <w:p w14:paraId="04F78246" w14:textId="04131BC4" w:rsidR="00000D29" w:rsidRDefault="0006202F" w:rsidP="00B97E81">
      <w:pPr>
        <w:pStyle w:val="NormalWeb"/>
        <w:numPr>
          <w:ilvl w:val="0"/>
          <w:numId w:val="2"/>
        </w:numPr>
        <w:ind w:hanging="720"/>
        <w:contextualSpacing/>
        <w:jc w:val="both"/>
        <w:rPr>
          <w:rFonts w:asciiTheme="minorHAnsi" w:hAnsiTheme="minorHAnsi"/>
        </w:rPr>
      </w:pPr>
      <w:r w:rsidRPr="0006202F">
        <w:rPr>
          <w:rFonts w:asciiTheme="minorHAnsi" w:hAnsiTheme="minorHAnsi"/>
        </w:rPr>
        <w:t xml:space="preserve"> A copy of this policy is provided to all those for whom Chambers constitutes a working environment, including Members of Chambers, </w:t>
      </w:r>
      <w:r w:rsidR="009F35F0">
        <w:rPr>
          <w:rFonts w:asciiTheme="minorHAnsi" w:hAnsiTheme="minorHAnsi"/>
        </w:rPr>
        <w:t xml:space="preserve">Clerks, </w:t>
      </w:r>
      <w:r w:rsidRPr="0006202F">
        <w:rPr>
          <w:rFonts w:asciiTheme="minorHAnsi" w:hAnsiTheme="minorHAnsi"/>
        </w:rPr>
        <w:t xml:space="preserve">pupils, and other employees, temporary workers, those who provide services to Chambers such as contract cleaners, accountants and IT consultants, and mini-pupils and work experience students. </w:t>
      </w:r>
    </w:p>
    <w:p w14:paraId="38536F3C" w14:textId="7628985A" w:rsidR="0006202F" w:rsidRDefault="0006202F" w:rsidP="00000D29">
      <w:pPr>
        <w:pStyle w:val="NormalWeb"/>
        <w:contextualSpacing/>
        <w:jc w:val="both"/>
        <w:rPr>
          <w:rFonts w:asciiTheme="minorHAnsi" w:hAnsiTheme="minorHAnsi"/>
          <w:b/>
          <w:bCs/>
        </w:rPr>
      </w:pPr>
      <w:r w:rsidRPr="00000D29">
        <w:rPr>
          <w:rFonts w:asciiTheme="minorHAnsi" w:hAnsiTheme="minorHAnsi"/>
          <w:b/>
          <w:bCs/>
        </w:rPr>
        <w:t xml:space="preserve"> </w:t>
      </w:r>
    </w:p>
    <w:p w14:paraId="0E699B33" w14:textId="77777777" w:rsidR="009F35F0" w:rsidRPr="00000D29" w:rsidRDefault="009F35F0" w:rsidP="00000D29">
      <w:pPr>
        <w:pStyle w:val="NormalWeb"/>
        <w:contextualSpacing/>
        <w:jc w:val="both"/>
        <w:rPr>
          <w:rFonts w:asciiTheme="minorHAnsi" w:hAnsiTheme="minorHAnsi"/>
        </w:rPr>
      </w:pPr>
    </w:p>
    <w:p w14:paraId="73DF1FC5" w14:textId="4D413E36" w:rsidR="0006202F" w:rsidRDefault="0096483C" w:rsidP="00225976">
      <w:pPr>
        <w:pStyle w:val="NormalWeb"/>
        <w:contextualSpacing/>
        <w:jc w:val="both"/>
        <w:rPr>
          <w:rFonts w:asciiTheme="minorHAnsi" w:hAnsiTheme="minorHAnsi"/>
          <w:b/>
          <w:bCs/>
        </w:rPr>
      </w:pPr>
      <w:r>
        <w:rPr>
          <w:rFonts w:asciiTheme="minorHAnsi" w:hAnsiTheme="minorHAnsi"/>
          <w:b/>
          <w:bCs/>
        </w:rPr>
        <w:t>Explanatory Note</w:t>
      </w:r>
    </w:p>
    <w:p w14:paraId="5AFC8671" w14:textId="77777777" w:rsidR="0096483C" w:rsidRPr="0006202F" w:rsidRDefault="0096483C" w:rsidP="00225976">
      <w:pPr>
        <w:pStyle w:val="NormalWeb"/>
        <w:contextualSpacing/>
        <w:jc w:val="both"/>
        <w:rPr>
          <w:rFonts w:asciiTheme="minorHAnsi" w:hAnsiTheme="minorHAnsi"/>
        </w:rPr>
      </w:pPr>
    </w:p>
    <w:p w14:paraId="3E598EB0" w14:textId="637A151B" w:rsidR="008221B0" w:rsidRDefault="0006202F" w:rsidP="00225976">
      <w:pPr>
        <w:pStyle w:val="NormalWeb"/>
        <w:contextualSpacing/>
        <w:jc w:val="both"/>
        <w:rPr>
          <w:rFonts w:asciiTheme="minorHAnsi" w:hAnsiTheme="minorHAnsi"/>
        </w:rPr>
      </w:pPr>
      <w:r w:rsidRPr="0006202F">
        <w:rPr>
          <w:rFonts w:asciiTheme="minorHAnsi" w:hAnsiTheme="minorHAnsi"/>
        </w:rPr>
        <w:t>This policy largely follows the model harassment policy appended to the Bar Standards Boards Guidelines on the Equality and Diversity Provisions of the Code of Conduct, section 1</w:t>
      </w:r>
      <w:r w:rsidR="008221B0">
        <w:rPr>
          <w:rFonts w:asciiTheme="minorHAnsi" w:hAnsiTheme="minorHAnsi"/>
        </w:rPr>
        <w:t>3</w:t>
      </w:r>
      <w:r w:rsidRPr="0006202F">
        <w:rPr>
          <w:rFonts w:asciiTheme="minorHAnsi" w:hAnsiTheme="minorHAnsi"/>
        </w:rPr>
        <w:t xml:space="preserve">. </w:t>
      </w:r>
    </w:p>
    <w:p w14:paraId="1B4263C9" w14:textId="077AE712" w:rsidR="0006202F" w:rsidRPr="0006202F" w:rsidRDefault="0006202F" w:rsidP="00225976">
      <w:pPr>
        <w:pStyle w:val="NormalWeb"/>
        <w:contextualSpacing/>
        <w:jc w:val="both"/>
        <w:rPr>
          <w:rFonts w:asciiTheme="minorHAnsi" w:hAnsiTheme="minorHAnsi"/>
        </w:rPr>
      </w:pPr>
      <w:r w:rsidRPr="0006202F">
        <w:rPr>
          <w:rFonts w:asciiTheme="minorHAnsi" w:hAnsiTheme="minorHAnsi"/>
        </w:rPr>
        <w:t xml:space="preserve">Last revised: </w:t>
      </w:r>
      <w:r w:rsidR="008221B0">
        <w:rPr>
          <w:rFonts w:asciiTheme="minorHAnsi" w:hAnsiTheme="minorHAnsi"/>
        </w:rPr>
        <w:t>May 2020</w:t>
      </w:r>
      <w:r w:rsidRPr="0006202F">
        <w:rPr>
          <w:rFonts w:asciiTheme="minorHAnsi" w:hAnsiTheme="minorHAnsi"/>
        </w:rPr>
        <w:t xml:space="preserve">. To be revised: </w:t>
      </w:r>
      <w:r w:rsidR="008221B0">
        <w:rPr>
          <w:rFonts w:asciiTheme="minorHAnsi" w:hAnsiTheme="minorHAnsi"/>
        </w:rPr>
        <w:t>May</w:t>
      </w:r>
      <w:r w:rsidRPr="0006202F">
        <w:rPr>
          <w:rFonts w:asciiTheme="minorHAnsi" w:hAnsiTheme="minorHAnsi"/>
        </w:rPr>
        <w:t xml:space="preserve"> 20</w:t>
      </w:r>
      <w:r w:rsidR="008221B0">
        <w:rPr>
          <w:rFonts w:asciiTheme="minorHAnsi" w:hAnsiTheme="minorHAnsi"/>
        </w:rPr>
        <w:t>22</w:t>
      </w:r>
      <w:r w:rsidRPr="0006202F">
        <w:rPr>
          <w:rFonts w:asciiTheme="minorHAnsi" w:hAnsiTheme="minorHAnsi"/>
        </w:rPr>
        <w:t xml:space="preserve">. </w:t>
      </w:r>
    </w:p>
    <w:p w14:paraId="5DD8F3B2" w14:textId="77777777" w:rsidR="0006202F" w:rsidRPr="0006202F" w:rsidRDefault="0006202F" w:rsidP="00225976">
      <w:pPr>
        <w:contextualSpacing/>
        <w:jc w:val="both"/>
      </w:pPr>
    </w:p>
    <w:sectPr w:rsidR="0006202F" w:rsidRPr="0006202F" w:rsidSect="00CA17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27795"/>
    <w:multiLevelType w:val="multilevel"/>
    <w:tmpl w:val="A08CB9C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7DED3D66"/>
    <w:multiLevelType w:val="hybridMultilevel"/>
    <w:tmpl w:val="5E66F1B4"/>
    <w:lvl w:ilvl="0" w:tplc="1B4A466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2F"/>
    <w:rsid w:val="00000D29"/>
    <w:rsid w:val="00001328"/>
    <w:rsid w:val="0006202F"/>
    <w:rsid w:val="00181F1E"/>
    <w:rsid w:val="00225976"/>
    <w:rsid w:val="00415F09"/>
    <w:rsid w:val="007B4B49"/>
    <w:rsid w:val="008221B0"/>
    <w:rsid w:val="0096483C"/>
    <w:rsid w:val="00986DF7"/>
    <w:rsid w:val="009F35F0"/>
    <w:rsid w:val="00B97E81"/>
    <w:rsid w:val="00BE1326"/>
    <w:rsid w:val="00CA17B8"/>
    <w:rsid w:val="00DE3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FACA10"/>
  <w15:chartTrackingRefBased/>
  <w15:docId w15:val="{04539804-5446-944A-B64A-229D6207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02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6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359574">
      <w:bodyDiv w:val="1"/>
      <w:marLeft w:val="0"/>
      <w:marRight w:val="0"/>
      <w:marTop w:val="0"/>
      <w:marBottom w:val="0"/>
      <w:divBdr>
        <w:top w:val="none" w:sz="0" w:space="0" w:color="auto"/>
        <w:left w:val="none" w:sz="0" w:space="0" w:color="auto"/>
        <w:bottom w:val="none" w:sz="0" w:space="0" w:color="auto"/>
        <w:right w:val="none" w:sz="0" w:space="0" w:color="auto"/>
      </w:divBdr>
      <w:divsChild>
        <w:div w:id="486479333">
          <w:marLeft w:val="0"/>
          <w:marRight w:val="0"/>
          <w:marTop w:val="0"/>
          <w:marBottom w:val="0"/>
          <w:divBdr>
            <w:top w:val="none" w:sz="0" w:space="0" w:color="auto"/>
            <w:left w:val="none" w:sz="0" w:space="0" w:color="auto"/>
            <w:bottom w:val="none" w:sz="0" w:space="0" w:color="auto"/>
            <w:right w:val="none" w:sz="0" w:space="0" w:color="auto"/>
          </w:divBdr>
          <w:divsChild>
            <w:div w:id="638925267">
              <w:marLeft w:val="0"/>
              <w:marRight w:val="0"/>
              <w:marTop w:val="0"/>
              <w:marBottom w:val="0"/>
              <w:divBdr>
                <w:top w:val="none" w:sz="0" w:space="0" w:color="auto"/>
                <w:left w:val="none" w:sz="0" w:space="0" w:color="auto"/>
                <w:bottom w:val="none" w:sz="0" w:space="0" w:color="auto"/>
                <w:right w:val="none" w:sz="0" w:space="0" w:color="auto"/>
              </w:divBdr>
              <w:divsChild>
                <w:div w:id="361132147">
                  <w:marLeft w:val="0"/>
                  <w:marRight w:val="0"/>
                  <w:marTop w:val="0"/>
                  <w:marBottom w:val="0"/>
                  <w:divBdr>
                    <w:top w:val="none" w:sz="0" w:space="0" w:color="auto"/>
                    <w:left w:val="none" w:sz="0" w:space="0" w:color="auto"/>
                    <w:bottom w:val="none" w:sz="0" w:space="0" w:color="auto"/>
                    <w:right w:val="none" w:sz="0" w:space="0" w:color="auto"/>
                  </w:divBdr>
                </w:div>
              </w:divsChild>
            </w:div>
            <w:div w:id="1168133910">
              <w:marLeft w:val="0"/>
              <w:marRight w:val="0"/>
              <w:marTop w:val="0"/>
              <w:marBottom w:val="0"/>
              <w:divBdr>
                <w:top w:val="none" w:sz="0" w:space="0" w:color="auto"/>
                <w:left w:val="none" w:sz="0" w:space="0" w:color="auto"/>
                <w:bottom w:val="none" w:sz="0" w:space="0" w:color="auto"/>
                <w:right w:val="none" w:sz="0" w:space="0" w:color="auto"/>
              </w:divBdr>
              <w:divsChild>
                <w:div w:id="14071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416">
          <w:marLeft w:val="0"/>
          <w:marRight w:val="0"/>
          <w:marTop w:val="0"/>
          <w:marBottom w:val="0"/>
          <w:divBdr>
            <w:top w:val="none" w:sz="0" w:space="0" w:color="auto"/>
            <w:left w:val="none" w:sz="0" w:space="0" w:color="auto"/>
            <w:bottom w:val="none" w:sz="0" w:space="0" w:color="auto"/>
            <w:right w:val="none" w:sz="0" w:space="0" w:color="auto"/>
          </w:divBdr>
          <w:divsChild>
            <w:div w:id="597450284">
              <w:marLeft w:val="0"/>
              <w:marRight w:val="0"/>
              <w:marTop w:val="0"/>
              <w:marBottom w:val="0"/>
              <w:divBdr>
                <w:top w:val="none" w:sz="0" w:space="0" w:color="auto"/>
                <w:left w:val="none" w:sz="0" w:space="0" w:color="auto"/>
                <w:bottom w:val="none" w:sz="0" w:space="0" w:color="auto"/>
                <w:right w:val="none" w:sz="0" w:space="0" w:color="auto"/>
              </w:divBdr>
              <w:divsChild>
                <w:div w:id="911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5</cp:revision>
  <cp:lastPrinted>2020-07-29T16:32:00Z</cp:lastPrinted>
  <dcterms:created xsi:type="dcterms:W3CDTF">2020-07-29T15:02:00Z</dcterms:created>
  <dcterms:modified xsi:type="dcterms:W3CDTF">2021-08-20T13:40:00Z</dcterms:modified>
</cp:coreProperties>
</file>